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CC" w:rsidRPr="001D26CC" w:rsidRDefault="001D26CC" w:rsidP="001D26CC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  <w:r w:rsidRPr="001D26CC"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  <w:fldChar w:fldCharType="begin"/>
      </w:r>
      <w:r w:rsidRPr="001D26CC"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  <w:instrText xml:space="preserve"> HYPERLINK "http://dou.yarono.ru/ulybka/?p=1788" </w:instrText>
      </w:r>
      <w:r w:rsidRPr="001D26CC"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  <w:fldChar w:fldCharType="separate"/>
      </w:r>
      <w:r w:rsidRPr="001D26CC">
        <w:rPr>
          <w:rFonts w:ascii="Arial" w:eastAsia="Times New Roman" w:hAnsi="Arial" w:cs="Arial"/>
          <w:b/>
          <w:bCs/>
          <w:i/>
          <w:color w:val="C00000"/>
          <w:sz w:val="32"/>
          <w:lang w:eastAsia="ru-RU"/>
        </w:rPr>
        <w:t>Памятка для родителей</w:t>
      </w:r>
      <w:r w:rsidRPr="001D26CC"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  <w:fldChar w:fldCharType="end"/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на расчетный счет учреждения.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Вы должны знать!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Администрация, сотрудники учреждения, иные лица не вправе: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- требовать или принимать от благотворителей наличные денежные средства;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Благотворитель имеет право: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 течение 10 дней со дня перечисления по доброй воле денежных средств на — расчетный счет учреждения — подать обращение в учреждение (по своему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Белгородской области) и (или) в судебном порядке);</w:t>
      </w:r>
    </w:p>
    <w:p w:rsidR="001D26CC" w:rsidRPr="001D26CC" w:rsidRDefault="001D26CC" w:rsidP="001D26C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1D26CC" w:rsidRPr="001D26CC" w:rsidRDefault="001D26CC" w:rsidP="001D26CC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УВАЖАЕМЫЕ РОДИТЕЛИ!</w:t>
      </w:r>
    </w:p>
    <w:p w:rsidR="001D26CC" w:rsidRPr="001D26CC" w:rsidRDefault="001D26CC" w:rsidP="001D26CC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ЗАКОН И ГОСУДАРСТВО — НА ВАШЕЙ СТОРОНЕ.</w:t>
      </w:r>
    </w:p>
    <w:p w:rsidR="001D26CC" w:rsidRPr="001D26CC" w:rsidRDefault="001D26CC" w:rsidP="001D26CC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</w:pPr>
      <w:r w:rsidRPr="001D26CC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НЕТ ПОБОРАМ!</w:t>
      </w:r>
    </w:p>
    <w:p w:rsidR="00D75667" w:rsidRDefault="00D75667"/>
    <w:sectPr w:rsidR="00D75667" w:rsidSect="00D7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CC"/>
    <w:rsid w:val="001D26CC"/>
    <w:rsid w:val="00D7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7"/>
  </w:style>
  <w:style w:type="paragraph" w:styleId="2">
    <w:name w:val="heading 2"/>
    <w:basedOn w:val="a"/>
    <w:link w:val="20"/>
    <w:uiPriority w:val="9"/>
    <w:qFormat/>
    <w:rsid w:val="001D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26CC"/>
    <w:rPr>
      <w:color w:val="0000FF"/>
      <w:u w:val="single"/>
    </w:rPr>
  </w:style>
  <w:style w:type="character" w:customStyle="1" w:styleId="meta-prep">
    <w:name w:val="meta-prep"/>
    <w:basedOn w:val="a0"/>
    <w:rsid w:val="001D26CC"/>
  </w:style>
  <w:style w:type="character" w:customStyle="1" w:styleId="apple-converted-space">
    <w:name w:val="apple-converted-space"/>
    <w:basedOn w:val="a0"/>
    <w:rsid w:val="001D26CC"/>
  </w:style>
  <w:style w:type="character" w:customStyle="1" w:styleId="entry-date">
    <w:name w:val="entry-date"/>
    <w:basedOn w:val="a0"/>
    <w:rsid w:val="001D26CC"/>
  </w:style>
  <w:style w:type="character" w:customStyle="1" w:styleId="meta-sep">
    <w:name w:val="meta-sep"/>
    <w:basedOn w:val="a0"/>
    <w:rsid w:val="001D26CC"/>
  </w:style>
  <w:style w:type="character" w:customStyle="1" w:styleId="author">
    <w:name w:val="author"/>
    <w:basedOn w:val="a0"/>
    <w:rsid w:val="001D26CC"/>
  </w:style>
  <w:style w:type="paragraph" w:styleId="a4">
    <w:name w:val="Normal (Web)"/>
    <w:basedOn w:val="a"/>
    <w:uiPriority w:val="99"/>
    <w:semiHidden/>
    <w:unhideWhenUsed/>
    <w:rsid w:val="001D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2016-12-18T06:03:00Z</dcterms:created>
  <dcterms:modified xsi:type="dcterms:W3CDTF">2016-12-18T06:05:00Z</dcterms:modified>
</cp:coreProperties>
</file>