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2362200" cy="2571750"/>
            <wp:effectExtent l="0" t="0" r="0" b="0"/>
            <wp:docPr id="1" name="Рисунок 1" descr="http://dou1-glowworm.do.am/2016-6/06-2016/deti_v_ladonja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-glowworm.do.am/2016-6/06-2016/deti_v_ladonjak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br/>
      </w:r>
      <w:hyperlink r:id="rId6" w:history="1">
        <w:r w:rsidRPr="002E3689">
          <w:rPr>
            <w:rFonts w:ascii="Arial" w:eastAsia="Times New Roman" w:hAnsi="Arial" w:cs="Arial"/>
            <w:b/>
            <w:bCs/>
            <w:color w:val="0B8400"/>
            <w:sz w:val="21"/>
            <w:u w:val="single"/>
            <w:lang w:eastAsia="ru-RU"/>
          </w:rPr>
          <w:t>Федеральный закон  24 июля 1998 года № 124-ФЗ «Об основных гарантиях прав ребенка в Российской Федерации</w:t>
        </w:r>
      </w:hyperlink>
      <w:hyperlink r:id="rId7" w:history="1">
        <w:r w:rsidRPr="002E3689">
          <w:rPr>
            <w:rFonts w:ascii="Arial" w:eastAsia="Times New Roman" w:hAnsi="Arial" w:cs="Arial"/>
            <w:i/>
            <w:iCs/>
            <w:color w:val="0B8400"/>
            <w:sz w:val="21"/>
            <w:lang w:eastAsia="ru-RU"/>
          </w:rPr>
          <w:t>(Открыть) </w:t>
        </w:r>
      </w:hyperlink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5895975" cy="4667250"/>
            <wp:effectExtent l="19050" t="0" r="9525" b="0"/>
            <wp:docPr id="2" name="Рисунок 2" descr="http://dou1-glowworm.do.am/2012-2014/2016/prava_dete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1-glowworm.do.am/2012-2014/2016/prava_detej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color w:val="0000FF"/>
          <w:sz w:val="21"/>
          <w:lang w:eastAsia="ru-RU"/>
        </w:rPr>
        <w:t>Защита прав и достоинства ребёнка в семье</w:t>
      </w:r>
      <w:proofErr w:type="gramStart"/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br/>
        <w:t>П</w:t>
      </w:r>
      <w:proofErr w:type="gramEnd"/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оскольку ребенок воспитывается в семье, сразу вопрос: «Что такое семья?».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«Семья — группа живущих вместе родственников; объединение людей, сплоченных общими интересами. (Толковый словарь С.И.Ожегова и Н.Ю. Шведова).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br/>
        <w:t>Ценность семьи как важнейшего института воспитания и социализации детей никогда не вызывала сомнений. То, что несет в</w:t>
      </w:r>
      <w:r w:rsidRPr="002E3689">
        <w:rPr>
          <w:rFonts w:ascii="Arial" w:eastAsia="Times New Roman" w:hAnsi="Arial" w:cs="Arial"/>
          <w:color w:val="111111"/>
          <w:sz w:val="21"/>
          <w:lang w:eastAsia="ru-RU"/>
        </w:rPr>
        <w:t> </w:t>
      </w:r>
      <w:r w:rsidRPr="002E3689">
        <w:rPr>
          <w:rFonts w:ascii="Arial" w:eastAsia="Times New Roman" w:hAnsi="Arial" w:cs="Arial"/>
          <w:i/>
          <w:iCs/>
          <w:color w:val="111111"/>
          <w:sz w:val="21"/>
          <w:lang w:eastAsia="ru-RU"/>
        </w:rPr>
        <w:t>себе семья, 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 xml:space="preserve">невозможно заменить ничем. Истинные духовные ценности </w:t>
      </w:r>
      <w:proofErr w:type="gramStart"/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человека</w:t>
      </w:r>
      <w:proofErr w:type="gramEnd"/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 xml:space="preserve"> возможно сохранить только в семье, а передать их, только через детей.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br/>
        <w:t xml:space="preserve">Дошкольное детство — уникальный период в жизни человека, в процессе которого 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lastRenderedPageBreak/>
        <w:t>формируется здоровье и осуществляется развитие личности. В то же время это период, в течение которого ребенок находится в полной зависимости от окружающих его взрослых – родителей и педагогов. Здоровье детей и их полноценное развитие во многом определяется эффективностью по защите их прав. У ребенка, обделенного заботой и вниманием, нет второй возможности для нормального роста и здорового развития, поэтому проблеме охраны детства на всех уровнях нужно уделять первостепенное внимание.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br/>
        <w:t xml:space="preserve">Проблема эта условно рассматривается в двух направлениях: в </w:t>
      </w:r>
      <w:proofErr w:type="gramStart"/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социально-правовом</w:t>
      </w:r>
      <w:proofErr w:type="gramEnd"/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 xml:space="preserve"> и психолого-педагогическом.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Социально-правовое</w:t>
      </w:r>
      <w:r w:rsidRPr="002E3689">
        <w:rPr>
          <w:rFonts w:ascii="Arial" w:eastAsia="Times New Roman" w:hAnsi="Arial" w:cs="Arial"/>
          <w:color w:val="111111"/>
          <w:sz w:val="21"/>
          <w:lang w:eastAsia="ru-RU"/>
        </w:rPr>
        <w:t> 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направление включает законодательное обеспечение охраны прав ребенка, создание системы социальных, образовательных, культурных и других детских учреждений.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Психолого-педагогическое</w:t>
      </w:r>
      <w:r w:rsidRPr="002E3689">
        <w:rPr>
          <w:rFonts w:ascii="Arial" w:eastAsia="Times New Roman" w:hAnsi="Arial" w:cs="Arial"/>
          <w:color w:val="111111"/>
          <w:sz w:val="21"/>
          <w:lang w:eastAsia="ru-RU"/>
        </w:rPr>
        <w:t> 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направление предполагает создание благоприятных условий: соответствующей атмосферы, стиля жизни, общения в семье и в образовательном учреждении.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«Дети мира невинны, уязвимы и зависимы», – констатирует Всемирная декларация об обеспечении выживания, защиты и развития детей. В соответствии с этим положением международным сообществом по защите прав ребенка приняты важные документы, призванные обеспечить защиту прав ребенка во всем мире: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Нормативные основы защиты прав детства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К основным международным документам ЮНИСЕФ, касающимся прав детей относятся: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– Декларация прав ребенка (1959)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br/>
        <w:t>– Конвенция ООН о правах ребенка (1989)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br/>
        <w:t>– Всемирная декларация об обеспечении выживания, защиты и развития детей (1990)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1066800" cy="771525"/>
            <wp:effectExtent l="19050" t="0" r="0" b="0"/>
            <wp:docPr id="3" name="Рисунок 3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Декларация прав ребенка  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является первым международным документом. В 10 принципах, изложенных в Декларации, провозглашаются</w:t>
      </w:r>
      <w:r w:rsidRPr="002E3689">
        <w:rPr>
          <w:rFonts w:ascii="Arial" w:eastAsia="Times New Roman" w:hAnsi="Arial" w:cs="Arial"/>
          <w:color w:val="111111"/>
          <w:sz w:val="21"/>
          <w:lang w:eastAsia="ru-RU"/>
        </w:rPr>
        <w:t> </w:t>
      </w:r>
      <w:hyperlink r:id="rId10" w:history="1">
        <w:r w:rsidRPr="002E3689">
          <w:rPr>
            <w:rFonts w:ascii="Arial" w:eastAsia="Times New Roman" w:hAnsi="Arial" w:cs="Arial"/>
            <w:color w:val="0B8400"/>
            <w:sz w:val="21"/>
            <w:u w:val="single"/>
            <w:lang w:eastAsia="ru-RU"/>
          </w:rPr>
          <w:t>права детей</w:t>
        </w:r>
      </w:hyperlink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: на имя, гражданство, любовь, понимание, материальное обеспечение, социальную защиту и предоставление возможности получать образование, развиваться физически, нравственно и духовно в условиях свободы и достоинства.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Особое внимание в Декларации уделяется</w:t>
      </w:r>
      <w:r w:rsidRPr="002E3689">
        <w:rPr>
          <w:rFonts w:ascii="Arial" w:eastAsia="Times New Roman" w:hAnsi="Arial" w:cs="Arial"/>
          <w:color w:val="111111"/>
          <w:sz w:val="21"/>
          <w:lang w:eastAsia="ru-RU"/>
        </w:rPr>
        <w:t> </w:t>
      </w:r>
      <w:r w:rsidRPr="002E3689">
        <w:rPr>
          <w:rFonts w:ascii="Arial" w:eastAsia="Times New Roman" w:hAnsi="Arial" w:cs="Arial"/>
          <w:color w:val="111111"/>
          <w:sz w:val="21"/>
          <w:szCs w:val="21"/>
          <w:u w:val="single"/>
          <w:lang w:eastAsia="ru-RU"/>
        </w:rPr>
        <w:t>защите ребенка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 На основе Декларации прав ребенка был разработан международный документ</w:t>
      </w:r>
      <w:r w:rsidRPr="002E3689">
        <w:rPr>
          <w:rFonts w:ascii="Arial" w:eastAsia="Times New Roman" w:hAnsi="Arial" w:cs="Arial"/>
          <w:color w:val="111111"/>
          <w:sz w:val="21"/>
          <w:lang w:eastAsia="ru-RU"/>
        </w:rPr>
        <w:t> </w:t>
      </w:r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– </w:t>
      </w:r>
      <w:r w:rsidRPr="002E3689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Конвенция о правах ребенка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Конвенция о правах ребенка состоит из преамбулы и 54 статей, детализирующих права каждого человека в возрасте до 18 лет на полное развитие своих возможностей в условиях, свободных от голода и нужды, жестокости, эксплуатации и других форм злоупотреблений.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Конвенция признает за каждым ребенком независимо от расы, цвета кожи, пола, языка, религии, политических или иных убеждений, национального, этнического и социального происхождения – юридическое право: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352425" cy="333375"/>
            <wp:effectExtent l="19050" t="0" r="9525" b="0"/>
            <wp:docPr id="4" name="Рисунок 4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на воспитание;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285750" cy="266700"/>
            <wp:effectExtent l="19050" t="0" r="0" b="0"/>
            <wp:docPr id="5" name="Рисунок 5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на развитие;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438150" cy="409575"/>
            <wp:effectExtent l="19050" t="0" r="0" b="0"/>
            <wp:docPr id="6" name="Рисунок 6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на защиту;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323850" cy="304800"/>
            <wp:effectExtent l="19050" t="0" r="0" b="0"/>
            <wp:docPr id="7" name="Рисунок 7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на активное участие в жизни общества.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Конвенция увязывает права ребенка с правами и обязанностями родителей и других лиц, несущих ответственность за жизнь детей, их развитие и защиту, и предоставляет ребенку право на участие в принятии решений, затрагивающих его настоящее и будущее.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lastRenderedPageBreak/>
        <w:t>На основе Конвенции разрабатываются нормативно-правовые документы федерального и регионального уровней.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Для создания и развития механизма реализации прав ребенка на защиту, декларированных в Конвенции и гарантированных Конституцией РФ, принят целый ряд законодательных актов – Семейный Кодекс РФ, Закон «Об основных гарантиях прав ребенка в РФ», Закон «Об образовании».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752475" cy="542925"/>
            <wp:effectExtent l="19050" t="0" r="9525" b="0"/>
            <wp:docPr id="8" name="Рисунок 8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Семейный Кодекс РФ – 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документ, регулирующий правовые вопросы семейных отношений на основе действующей Конституции РФ и нового гражданского законодательства.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Раздел IV Семейного Кодекса РФ целиком посвящен правам и обязанностям родителей и детей. Особый интерес представляют глава 11 «Права несовершеннолетних детей» и глава 12 «Права и обязанности родителей».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В семейном Кодексе РФ законодательно закреплены общепризнанные принципы и нормы международного права «ребенка на жизнь и воспитание в семье, на защиту, на возможность свободно выражать свое мнение».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В целях «создания правовых, социально-экономических условий для реализации прав и законных интересов ребенка», предусмотренных Конституцией РФ, принят</w:t>
      </w:r>
      <w:r w:rsidRPr="002E3689">
        <w:rPr>
          <w:rFonts w:ascii="Arial" w:eastAsia="Times New Roman" w:hAnsi="Arial" w:cs="Arial"/>
          <w:color w:val="111111"/>
          <w:sz w:val="21"/>
          <w:lang w:eastAsia="ru-RU"/>
        </w:rPr>
        <w:t> </w:t>
      </w:r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ФЗ «Об основных гарантиях прав ребенка в Российской Федерации»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 Этот закон выделяет особую категорию детей, нуждающихся в защите со стороны государства (дети-инвалиды, жертвы вооруженных и межнациональных конфликтов, дети с отклонениями в поведении, дети, жизнедеятельность которых нарушена в результате сложившихся обстоятельств и которые не могут преодолеть эти обстоятельства сами или с помощью семьи).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800100" cy="581025"/>
            <wp:effectExtent l="19050" t="0" r="0" b="0"/>
            <wp:docPr id="9" name="Рисунок 9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Конвенция ООН о правах ребенка 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дает определение понятия «жестокое обращение» и определяет меры защиты (ст. 19), а также устанавливает:</w:t>
      </w:r>
    </w:p>
    <w:p w:rsidR="002E3689" w:rsidRPr="002E3689" w:rsidRDefault="002E3689" w:rsidP="002E36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обеспечение в максимально возможной степени здорового развития ребенка (ст. 6);</w:t>
      </w:r>
    </w:p>
    <w:p w:rsidR="002E3689" w:rsidRPr="002E3689" w:rsidRDefault="002E3689" w:rsidP="002E36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защиту от произвольного или незаконного вмешательства в личную жизнь ребенка, от посягательств на его честь и репутацию (ст. 16);</w:t>
      </w:r>
    </w:p>
    <w:p w:rsidR="002E3689" w:rsidRPr="002E3689" w:rsidRDefault="002E3689" w:rsidP="002E36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обеспечение мер по борьбе с болезнями и недоеданием (ст. 24);</w:t>
      </w:r>
    </w:p>
    <w:p w:rsidR="002E3689" w:rsidRPr="002E3689" w:rsidRDefault="002E3689" w:rsidP="002E36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признание права каждого ребенка на уровень жизни, необходимый для физического, умственного, духовного, нравственного и социального развития (ст. 24);</w:t>
      </w:r>
    </w:p>
    <w:p w:rsidR="002E3689" w:rsidRPr="002E3689" w:rsidRDefault="002E3689" w:rsidP="002E36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защиту ребенка от сексуального посягательства (ст. 34);</w:t>
      </w:r>
    </w:p>
    <w:p w:rsidR="002E3689" w:rsidRPr="002E3689" w:rsidRDefault="002E3689" w:rsidP="002E36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защиту ребенка от других форм жестокого обращения (ст. 37);</w:t>
      </w:r>
    </w:p>
    <w:p w:rsidR="002E3689" w:rsidRPr="002E3689" w:rsidRDefault="002E3689" w:rsidP="002E36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меры помощи ребенку, явившемуся жертвой жестокого обращения (ст. 39).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904875" cy="657225"/>
            <wp:effectExtent l="19050" t="0" r="9525" b="0"/>
            <wp:docPr id="10" name="Рисунок 10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Уголовный кодекс</w:t>
      </w:r>
      <w:r w:rsidRPr="002E3689">
        <w:rPr>
          <w:rFonts w:ascii="Arial" w:eastAsia="Times New Roman" w:hAnsi="Arial" w:cs="Arial"/>
          <w:color w:val="111111"/>
          <w:sz w:val="21"/>
          <w:lang w:eastAsia="ru-RU"/>
        </w:rPr>
        <w:t> 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предусматривает ответственность:</w:t>
      </w:r>
    </w:p>
    <w:p w:rsidR="002E3689" w:rsidRPr="002E3689" w:rsidRDefault="002E3689" w:rsidP="002E36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за совершение физического и сексуального насилия, в т.ч. и в отношении несовершеннолетних (ст. 106 – 136);</w:t>
      </w:r>
    </w:p>
    <w:p w:rsidR="002E3689" w:rsidRPr="002E3689" w:rsidRDefault="002E3689" w:rsidP="002E36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за преступление против семьи и несовершеннолетних (ст. 150 – 157).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666750" cy="485775"/>
            <wp:effectExtent l="19050" t="0" r="0" b="0"/>
            <wp:docPr id="11" name="Рисунок 11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Семейный Кодекс РФ</w:t>
      </w:r>
      <w:r w:rsidRPr="002E3689">
        <w:rPr>
          <w:rFonts w:ascii="Arial" w:eastAsia="Times New Roman" w:hAnsi="Arial" w:cs="Arial"/>
          <w:color w:val="111111"/>
          <w:sz w:val="21"/>
          <w:lang w:eastAsia="ru-RU"/>
        </w:rPr>
        <w:t> 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гарантирует:</w:t>
      </w:r>
    </w:p>
    <w:p w:rsidR="002E3689" w:rsidRPr="002E3689" w:rsidRDefault="002E3689" w:rsidP="002E36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lastRenderedPageBreak/>
        <w:t>право ребенка на уважение его человеческого достоинства (ст. 54);</w:t>
      </w:r>
    </w:p>
    <w:p w:rsidR="002E3689" w:rsidRPr="002E3689" w:rsidRDefault="002E3689" w:rsidP="002E36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право ребенка на защиту и обязанности органа опеки и попечительства принять меры по защите ребенка (ст. 56);</w:t>
      </w:r>
    </w:p>
    <w:p w:rsidR="002E3689" w:rsidRPr="002E3689" w:rsidRDefault="002E3689" w:rsidP="002E36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меру «лишение родительских прав» как меру защиты детей от жестокого обращения с ними в семье (ст. 69);</w:t>
      </w:r>
    </w:p>
    <w:p w:rsidR="002E3689" w:rsidRPr="002E3689" w:rsidRDefault="002E3689" w:rsidP="002E36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немедленное отбирание ребенка при непосредственной угрозе жизни и здоровью (сит. 77).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1019175" cy="619125"/>
            <wp:effectExtent l="19050" t="0" r="9525" b="0"/>
            <wp:docPr id="12" name="Рисунок 12" descr="http://dou1-glowworm.do.am/2016-6/1/raskrytaja_kni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u1-glowworm.do.am/2016-6/1/raskrytaja_knig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Закон «Об образовании» 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утверждает право детей, облучающихся во всех образовательных учреждениях, на «уважение их человеческого достоинства» (ст. 5) и предусматривает административное наказание педагогических работников за допущенное физическое и психическое «насилие над личностью обучающегося или воспитанника» (ст. 56).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br/>
        <w:t>В помощь семье и воспитанию детей дошкольного возраста, охране и укреплении их здоровья, развитию индивидуальных особенностей и необходимой коррекции нарушений развития действует сеть дошкольных образовательных учреждений.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br/>
        <w:t>ДОУ в своей деятельности руководствуется федеральными законами, указами и распоряжениями Президента РФ, Типовым положением о дошкольном образовательном учреждении и другими постановлениями и распоряжениями Правительства РФ, решениями соответствующего органа управления образованием.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 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1114425" cy="676275"/>
            <wp:effectExtent l="19050" t="0" r="9525" b="0"/>
            <wp:docPr id="13" name="Рисунок 13" descr="http://dou1-glowworm.do.am/2016-6/1/raskrytaja_kni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1-glowworm.do.am/2016-6/1/raskrytaja_knig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 xml:space="preserve">Приказ Министерства образования и науки РФ от 8 апреля 2014 г №293 «Об утверждении Порядка приёма на </w:t>
      </w:r>
      <w:proofErr w:type="gramStart"/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обучение по</w:t>
      </w:r>
      <w:proofErr w:type="gramEnd"/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 xml:space="preserve"> образовательным программам дошкольного образования», 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который издан во исполнение ст. 55 Федерального закона от 29.12.2012 № 273-ФЗ «Об образовании». Данный приказ утверждает Порядок приема на обучение в детские сады.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1200150" cy="733425"/>
            <wp:effectExtent l="19050" t="0" r="0" b="0"/>
            <wp:docPr id="14" name="Рисунок 14" descr="http://dou1-glowworm.do.am/2016-6/1/raskrytaja_kni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u1-glowworm.do.am/2016-6/1/raskrytaja_knig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Устав ДОУ 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– нормативный документ, в котором представлены права и обязанности всех участников образовательного процесса: детей, педагогов, родителей.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br/>
        <w:t>Конвенция о правах ребенка — правовой документ высокого международного стандарта и большого педагогического значения. Она провозглашает ребенка полноценной и полноправной личностью, самостоятельным субъектом права и призывает строить вза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softHyphen/>
        <w:t>имоотношения взрослого и ребенка на нравственно-правовых нормах, в основе которых лежит подлинный гуманизм, демократизм, уважение и бережное отношение к личности ребенка, его мнениям и взглядам.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lastRenderedPageBreak/>
        <w:drawing>
          <wp:inline distT="0" distB="0" distL="0" distR="0">
            <wp:extent cx="4572000" cy="3228975"/>
            <wp:effectExtent l="19050" t="0" r="0" b="0"/>
            <wp:docPr id="15" name="Рисунок 15" descr="http://dou1-glowworm.do.am/2016-6/prava_rebenk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u1-glowworm.do.am/2016-6/prava_rebenka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4572000" cy="3228975"/>
            <wp:effectExtent l="19050" t="0" r="0" b="0"/>
            <wp:docPr id="16" name="Рисунок 16" descr="http://dou1-glowworm.do.am/2016-6/prava_reben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u1-glowworm.do.am/2016-6/prava_rebenka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lastRenderedPageBreak/>
        <w:drawing>
          <wp:inline distT="0" distB="0" distL="0" distR="0">
            <wp:extent cx="4572000" cy="3228975"/>
            <wp:effectExtent l="19050" t="0" r="0" b="0"/>
            <wp:docPr id="17" name="Рисунок 17" descr="http://dou1-glowworm.do.am/2016-6/prava_reben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u1-glowworm.do.am/2016-6/prava_rebenka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4572000" cy="3228975"/>
            <wp:effectExtent l="19050" t="0" r="0" b="0"/>
            <wp:docPr id="18" name="Рисунок 18" descr="http://dou1-glowworm.do.am/2016-6/prava_rebenk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u1-glowworm.do.am/2016-6/prava_rebenka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lastRenderedPageBreak/>
        <w:drawing>
          <wp:inline distT="0" distB="0" distL="0" distR="0">
            <wp:extent cx="4572000" cy="3238500"/>
            <wp:effectExtent l="19050" t="0" r="0" b="0"/>
            <wp:docPr id="19" name="Рисунок 19" descr="http://dou1-glowworm.do.am/2016-6/prava_reben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u1-glowworm.do.am/2016-6/prava_rebenka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4572000" cy="3228975"/>
            <wp:effectExtent l="19050" t="0" r="0" b="0"/>
            <wp:docPr id="20" name="Рисунок 20" descr="http://dou1-glowworm.do.am/2016-6/prava_reben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ou1-glowworm.do.am/2016-6/prava_rebenka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lastRenderedPageBreak/>
        <w:drawing>
          <wp:inline distT="0" distB="0" distL="0" distR="0">
            <wp:extent cx="4572000" cy="3076575"/>
            <wp:effectExtent l="19050" t="0" r="0" b="0"/>
            <wp:docPr id="21" name="Рисунок 21" descr="http://dou1-glowworm.do.am/2016-6/prava_rebenk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u1-glowworm.do.am/2016-6/prava_rebenka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4572000" cy="3228975"/>
            <wp:effectExtent l="19050" t="0" r="0" b="0"/>
            <wp:docPr id="22" name="Рисунок 22" descr="http://dou1-glowworm.do.am/2016-6/prava_reben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u1-glowworm.do.am/2016-6/prava_rebenka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lastRenderedPageBreak/>
        <w:drawing>
          <wp:inline distT="0" distB="0" distL="0" distR="0">
            <wp:extent cx="4572000" cy="3228975"/>
            <wp:effectExtent l="19050" t="0" r="0" b="0"/>
            <wp:docPr id="23" name="Рисунок 23" descr="http://dou1-glowworm.do.am/2016-6/prava_reben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u1-glowworm.do.am/2016-6/prava_rebenka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4572000" cy="3228975"/>
            <wp:effectExtent l="19050" t="0" r="0" b="0"/>
            <wp:docPr id="24" name="Рисунок 24" descr="http://dou1-glowworm.do.am/2016-6/prava_reben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ou1-glowworm.do.am/2016-6/prava_rebenka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lastRenderedPageBreak/>
        <w:drawing>
          <wp:inline distT="0" distB="0" distL="0" distR="0">
            <wp:extent cx="4572000" cy="3228975"/>
            <wp:effectExtent l="19050" t="0" r="0" b="0"/>
            <wp:docPr id="25" name="Рисунок 25" descr="http://dou1-glowworm.do.am/2016-6/prava_reben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u1-glowworm.do.am/2016-6/prava_rebenka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4572000" cy="3228975"/>
            <wp:effectExtent l="19050" t="0" r="0" b="0"/>
            <wp:docPr id="26" name="Рисунок 26" descr="http://dou1-glowworm.do.am/2016-6/prava_rebe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ou1-glowworm.do.am/2016-6/prava_rebenka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lastRenderedPageBreak/>
        <w:drawing>
          <wp:inline distT="0" distB="0" distL="0" distR="0">
            <wp:extent cx="6953250" cy="4724400"/>
            <wp:effectExtent l="19050" t="0" r="0" b="0"/>
            <wp:docPr id="27" name="Рисунок 27" descr="http://dou1-glowworm.do.am/2012-2014/2016/prava_roditele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u1-glowworm.do.am/2012-2014/2016/prava_roditelej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Правовая основа защиты прав ребенка в ДОУ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В настоящее время система нормативного обеспечения прав детей достаточно полно представлена в документах международ</w:t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softHyphen/>
        <w:t>ного права, нормативно-правовыми актами на федеральном и региональном уровнях.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b/>
          <w:bCs/>
          <w:color w:val="FF0000"/>
          <w:sz w:val="21"/>
          <w:lang w:eastAsia="ru-RU"/>
        </w:rPr>
        <w:t>Основным правовым документом, защищающим ребенка от жесткого обращения, является Конвенция ООН о правах ребенка, которая устанавливает: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314325" cy="295275"/>
            <wp:effectExtent l="19050" t="0" r="9525" b="0"/>
            <wp:docPr id="28" name="Рисунок 28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обеспечение в максимально возможной степени здорового развития ребенка (ст. 6);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333375" cy="314325"/>
            <wp:effectExtent l="19050" t="0" r="9525" b="0"/>
            <wp:docPr id="29" name="Рисунок 29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защиту от произвольного или незаконного вмешательства в личную жизнь ребенка, от посягательств на его честь и репутацию (ст. 16);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276225" cy="266700"/>
            <wp:effectExtent l="19050" t="0" r="9525" b="0"/>
            <wp:docPr id="30" name="Рисунок 30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обеспечение мер по борьбе с болезнями и недоеданием (ст. 24);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276225" cy="257175"/>
            <wp:effectExtent l="19050" t="0" r="9525" b="0"/>
            <wp:docPr id="31" name="Рисунок 31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признание права каждого ребенка на уровень жизни, необходимый для физического, умственного, духовного, нравственного и социального развития (ст. 27);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304800" cy="285750"/>
            <wp:effectExtent l="19050" t="0" r="0" b="0"/>
            <wp:docPr id="32" name="Рисунок 32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защиту ребенка от сексуального посягательства (ст. 34);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361950" cy="342900"/>
            <wp:effectExtent l="19050" t="0" r="0" b="0"/>
            <wp:docPr id="33" name="Рисунок 33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защиту ребенка от других форм жестокого обращения (ст. 37);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314325" cy="295275"/>
            <wp:effectExtent l="19050" t="0" r="9525" b="0"/>
            <wp:docPr id="34" name="Рисунок 34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меры помощи ребенку, явившемуся жертвой жестокого обращения (ст. 39)[4].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1"/>
          <w:szCs w:val="21"/>
          <w:lang w:eastAsia="ru-RU"/>
        </w:rPr>
        <w:lastRenderedPageBreak/>
        <w:drawing>
          <wp:inline distT="0" distB="0" distL="0" distR="0">
            <wp:extent cx="333375" cy="314325"/>
            <wp:effectExtent l="19050" t="0" r="9525" b="0"/>
            <wp:docPr id="35" name="Рисунок 35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Уголовный Кодекс РФ предусматривает ответственность:</w:t>
      </w:r>
    </w:p>
    <w:p w:rsidR="002E3689" w:rsidRPr="002E3689" w:rsidRDefault="002E3689" w:rsidP="002E368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за совершение физического и сексуального насилия, в том числе и в отношении несовершеннолетних (ст. 106-136);</w:t>
      </w:r>
    </w:p>
    <w:p w:rsidR="002E3689" w:rsidRPr="002E3689" w:rsidRDefault="002E3689" w:rsidP="002E368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за преступление против семьи и несовершеннолетних (ст. 150-157).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381000" cy="352425"/>
            <wp:effectExtent l="19050" t="0" r="0" b="0"/>
            <wp:docPr id="36" name="Рисунок 36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Семейный Кодекс РФ гарантирует:</w:t>
      </w:r>
    </w:p>
    <w:p w:rsidR="002E3689" w:rsidRPr="002E3689" w:rsidRDefault="002E3689" w:rsidP="002E368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право ребенка на уважение его человеческого достоинства (ст. 54);</w:t>
      </w:r>
    </w:p>
    <w:p w:rsidR="002E3689" w:rsidRPr="002E3689" w:rsidRDefault="002E3689" w:rsidP="002E368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право ребенка на защиту и обязанности органа опеки и попечительства принять меры по защите ребенка (ст. 56);</w:t>
      </w:r>
    </w:p>
    <w:p w:rsidR="002E3689" w:rsidRPr="002E3689" w:rsidRDefault="002E3689" w:rsidP="002E368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меру «лишение родителей родительских прав» как меру защиты детей от жестокого обращения с ними в семье (ст. 69);</w:t>
      </w:r>
    </w:p>
    <w:p w:rsidR="002E3689" w:rsidRPr="002E3689" w:rsidRDefault="002E3689" w:rsidP="002E368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немедленное отобрание ребенка при непосредственной угрозе жизни и здоровью (ст. 77).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</w:t>
      </w:r>
    </w:p>
    <w:p w:rsidR="002E3689" w:rsidRPr="002E3689" w:rsidRDefault="002E3689" w:rsidP="002E3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1"/>
          <w:szCs w:val="21"/>
          <w:lang w:eastAsia="ru-RU"/>
        </w:rPr>
        <w:drawing>
          <wp:inline distT="0" distB="0" distL="0" distR="0">
            <wp:extent cx="438150" cy="409575"/>
            <wp:effectExtent l="19050" t="0" r="0" b="0"/>
            <wp:docPr id="37" name="Рисунок 37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Закон РФ «Об образовании» утверждает:</w:t>
      </w:r>
    </w:p>
    <w:p w:rsidR="002E3689" w:rsidRPr="002E3689" w:rsidRDefault="002E3689" w:rsidP="002E368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право детей, обучающихся во всех образовательных учреждениях, на «уважение их человеческого достоинства» (ст. 5);</w:t>
      </w:r>
    </w:p>
    <w:p w:rsidR="002E3689" w:rsidRPr="002E3689" w:rsidRDefault="002E3689" w:rsidP="002E368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предусматривает административное наказание педагогических работников за допущенное физическое или психическое «насилие над личностью обучающегося или воспитанника» (ст. 56).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Закон РФ «О защите прав детей» гласит: «жестокое обращение с детьми, физическое и психологическое насилие над ними запрещены» (ст. 14).</w:t>
      </w:r>
    </w:p>
    <w:p w:rsidR="002E3689" w:rsidRPr="002E3689" w:rsidRDefault="002E3689" w:rsidP="002E36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2E3689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В Уставе ДОУ представлены права и обязанности всех участников образовательного процесса: детей, педагогов, родителей. В соответствии с Уставом дошкольное образовательное учреждение обеспечивает права каждого ребенка в сфере образования и воспитания.</w:t>
      </w:r>
    </w:p>
    <w:p w:rsidR="002E3689" w:rsidRPr="002E3689" w:rsidRDefault="002E3689" w:rsidP="002E368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color w:val="111111"/>
          <w:sz w:val="36"/>
          <w:szCs w:val="36"/>
          <w:lang w:eastAsia="ru-RU"/>
        </w:rPr>
      </w:pPr>
      <w:r w:rsidRPr="002E3689">
        <w:rPr>
          <w:rFonts w:ascii="Helvetica" w:eastAsia="Times New Roman" w:hAnsi="Helvetica" w:cs="Helvetica"/>
          <w:color w:val="111111"/>
          <w:sz w:val="36"/>
          <w:szCs w:val="36"/>
          <w:lang w:eastAsia="ru-RU"/>
        </w:rPr>
        <w:t>Разделы сайта</w:t>
      </w:r>
    </w:p>
    <w:p w:rsidR="00F35E46" w:rsidRDefault="00F35E46"/>
    <w:sectPr w:rsidR="00F35E46" w:rsidSect="00F35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35CEE"/>
    <w:multiLevelType w:val="multilevel"/>
    <w:tmpl w:val="CA0A6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B69B9"/>
    <w:multiLevelType w:val="multilevel"/>
    <w:tmpl w:val="714A8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C93A77"/>
    <w:multiLevelType w:val="multilevel"/>
    <w:tmpl w:val="66403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665C4F"/>
    <w:multiLevelType w:val="multilevel"/>
    <w:tmpl w:val="37D8A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1D1E2D"/>
    <w:multiLevelType w:val="multilevel"/>
    <w:tmpl w:val="AC94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761161"/>
    <w:multiLevelType w:val="multilevel"/>
    <w:tmpl w:val="E29AB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C22312"/>
    <w:multiLevelType w:val="multilevel"/>
    <w:tmpl w:val="57301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3689"/>
    <w:rsid w:val="002E3689"/>
    <w:rsid w:val="00F35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E46"/>
  </w:style>
  <w:style w:type="paragraph" w:styleId="3">
    <w:name w:val="heading 3"/>
    <w:basedOn w:val="a"/>
    <w:link w:val="30"/>
    <w:uiPriority w:val="9"/>
    <w:qFormat/>
    <w:rsid w:val="002E36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36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E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3689"/>
    <w:rPr>
      <w:b/>
      <w:bCs/>
    </w:rPr>
  </w:style>
  <w:style w:type="character" w:styleId="a5">
    <w:name w:val="Hyperlink"/>
    <w:basedOn w:val="a0"/>
    <w:uiPriority w:val="99"/>
    <w:semiHidden/>
    <w:unhideWhenUsed/>
    <w:rsid w:val="002E3689"/>
    <w:rPr>
      <w:color w:val="0000FF"/>
      <w:u w:val="single"/>
    </w:rPr>
  </w:style>
  <w:style w:type="character" w:styleId="a6">
    <w:name w:val="Emphasis"/>
    <w:basedOn w:val="a0"/>
    <w:uiPriority w:val="20"/>
    <w:qFormat/>
    <w:rsid w:val="002E3689"/>
    <w:rPr>
      <w:i/>
      <w:iCs/>
    </w:rPr>
  </w:style>
  <w:style w:type="character" w:customStyle="1" w:styleId="apple-converted-space">
    <w:name w:val="apple-converted-space"/>
    <w:basedOn w:val="a0"/>
    <w:rsid w:val="002E3689"/>
  </w:style>
  <w:style w:type="paragraph" w:styleId="a7">
    <w:name w:val="Balloon Text"/>
    <w:basedOn w:val="a"/>
    <w:link w:val="a8"/>
    <w:uiPriority w:val="99"/>
    <w:semiHidden/>
    <w:unhideWhenUsed/>
    <w:rsid w:val="002E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3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2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9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2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0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9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6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6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7" Type="http://schemas.openxmlformats.org/officeDocument/2006/relationships/hyperlink" Target="http://dou1-glowworm.do.am/2012-2014/124-fz_ob_osnovnykh_garantijakh_prav_rebjonka_v_rf.pd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hyperlink" Target="http://dou1-glowworm.do.am/2012-2014/124-fz_ob_osnovnykh_garantijakh_prav_rebjonka_v_rf.pdf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hyperlink" Target="http://mdou5.edu.yar.ru/prava_detey.html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1610</Words>
  <Characters>9178</Characters>
  <Application>Microsoft Office Word</Application>
  <DocSecurity>0</DocSecurity>
  <Lines>76</Lines>
  <Paragraphs>21</Paragraphs>
  <ScaleCrop>false</ScaleCrop>
  <Company/>
  <LinksUpToDate>false</LinksUpToDate>
  <CharactersWithSpaces>10767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2016-11-03T14:57:00Z</dcterms:created>
  <dcterms:modified xsi:type="dcterms:W3CDTF">2016-11-03T14:58:00Z</dcterms:modified>
</cp:coreProperties>
</file>